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A58" w:rsidRDefault="00AE3058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mallCaps/>
        </w:rPr>
        <w:t>MATRIZ DE PLANEJAMENTO E PROCEDIMENTOS</w:t>
      </w:r>
    </w:p>
    <w:p w:rsidR="00682A58" w:rsidRDefault="00682A58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45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1625"/>
      </w:tblGrid>
      <w:tr w:rsidR="00682A58">
        <w:tc>
          <w:tcPr>
            <w:tcW w:w="2925" w:type="dxa"/>
            <w:shd w:val="clear" w:color="auto" w:fill="CCCCCC"/>
          </w:tcPr>
          <w:p w:rsidR="00682A58" w:rsidRDefault="00AE30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5" w:type="dxa"/>
            <w:shd w:val="clear" w:color="auto" w:fill="auto"/>
          </w:tcPr>
          <w:p w:rsidR="00682A58" w:rsidRDefault="00682A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82A58">
        <w:trPr>
          <w:trHeight w:val="232"/>
        </w:trPr>
        <w:tc>
          <w:tcPr>
            <w:tcW w:w="2925" w:type="dxa"/>
            <w:shd w:val="clear" w:color="auto" w:fill="CCCCCC"/>
          </w:tcPr>
          <w:p w:rsidR="00682A58" w:rsidRDefault="00AE30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5" w:type="dxa"/>
            <w:shd w:val="clear" w:color="auto" w:fill="auto"/>
          </w:tcPr>
          <w:p w:rsidR="00682A58" w:rsidRDefault="00682A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82A58" w:rsidRDefault="00682A58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1" w:name="_heading=h.labot9pmqpoi" w:colFirst="0" w:colLast="0"/>
      <w:bookmarkEnd w:id="1"/>
    </w:p>
    <w:tbl>
      <w:tblPr>
        <w:tblStyle w:val="a4"/>
        <w:tblW w:w="14609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9"/>
        <w:gridCol w:w="166"/>
        <w:gridCol w:w="1110"/>
        <w:gridCol w:w="284"/>
        <w:gridCol w:w="1066"/>
        <w:gridCol w:w="1202"/>
        <w:gridCol w:w="1701"/>
        <w:gridCol w:w="2126"/>
        <w:gridCol w:w="992"/>
        <w:gridCol w:w="1418"/>
        <w:gridCol w:w="1275"/>
        <w:gridCol w:w="1560"/>
      </w:tblGrid>
      <w:tr w:rsidR="00AE3058" w:rsidTr="001D5796">
        <w:tc>
          <w:tcPr>
            <w:tcW w:w="2985" w:type="dxa"/>
            <w:gridSpan w:val="3"/>
            <w:tcBorders>
              <w:bottom w:val="single" w:sz="4" w:space="0" w:color="000000"/>
            </w:tcBorders>
            <w:shd w:val="clear" w:color="auto" w:fill="CCCCCC"/>
          </w:tcPr>
          <w:p w:rsidR="00AE3058" w:rsidRDefault="00AE3058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162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AE3058" w:rsidRDefault="00AE3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(Com base nas informações propiciadas pela análise preliminar do objeto de auditoria, expresse, de forma clara e objetiva, aquilo que motivou a auditoria. A descrição do objetivo ou problema deve ser suficiente para nortear a concepção da auditoria. O essencial é que o tópico mais importante seja buscado, com base na avaliação prévia dos riscos mais significativos. O objetivo da auditoria (ou objetivos) deve ser definido de maneira razoavelmente detalhada para não deixar dúvidas sobre as questões que deverão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 w:rsidR="00AE3058" w:rsidTr="001D5796">
        <w:trPr>
          <w:trHeight w:val="314"/>
        </w:trPr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3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E3058" w:rsidTr="001D5796">
        <w:tc>
          <w:tcPr>
            <w:tcW w:w="1709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QUESTÃO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 w:rsidP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ABORDAGEM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DETALHAMENTO DO PROCEDIMENTO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MEMBRO RESPONSÁVEL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PERÍODO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QUE A ANÁLISE VAI PERMITIR DIZER</w:t>
            </w:r>
          </w:p>
        </w:tc>
      </w:tr>
      <w:tr w:rsidR="00AE3058" w:rsidTr="001D5796">
        <w:tc>
          <w:tcPr>
            <w:tcW w:w="1709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Apresentar, em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forma de perguntas, os diferentes aspectos que compõem o escopo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fiscalização e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devem ser investigados com vistas à satisfação do objetivo.</w:t>
            </w:r>
          </w:p>
          <w:p w:rsidR="00B6122F" w:rsidRDefault="00B612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B6122F" w:rsidRDefault="00B612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preferencialmente, cada questão deve ser direcionada a uma abordagem de avaliação.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Indicar a abordagem de avaliação relacionada à questão a ser respondida.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São os documentos e/ou dados que os analistas entendem necessários e suficientes para responder às questões de auditoria.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as informações serão necessárias para responder àquelas questões.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E3058" w:rsidRDefault="00AE3058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da coluna anterior.</w:t>
            </w:r>
          </w:p>
          <w:p w:rsidR="00AE3058" w:rsidRDefault="00AE3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as 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fornecerão as informações requeridas, bem como os documentos, bancos de dados ou os sistemas de informação de onde as mesmas serão retiradas.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AE3058" w:rsidRDefault="00AE3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Descrever, detalhadamente,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desses mesmos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dados, sempre buscando responder aos aspectos constantes da questão de auditoria.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P1.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P2.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P3.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serão necessários para responder àquelas questões.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as limitações inerentes à condução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.: dificuldade de acesso aos documentos ou banco de dados</w:t>
            </w:r>
          </w:p>
        </w:tc>
        <w:tc>
          <w:tcPr>
            <w:tcW w:w="1418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Pessoa(s) da equipe encarregada(s) da execução de cada procedimento.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Na coluna membro responsável deverá ser referenciado o número do procedimento 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Dia(s) em que o procedimento será executado</w:t>
            </w:r>
          </w:p>
        </w:tc>
        <w:tc>
          <w:tcPr>
            <w:tcW w:w="1560" w:type="dxa"/>
            <w:shd w:val="clear" w:color="auto" w:fill="FFFFFF"/>
          </w:tcPr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Esclarecer quais as conclusões ou resultados que podem ser alcançados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ao final da análise, atentando para os objetivos do trabalho.</w:t>
            </w:r>
          </w:p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1.a)</w:t>
            </w:r>
          </w:p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1.b)</w:t>
            </w:r>
          </w:p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1.c)</w:t>
            </w:r>
          </w:p>
        </w:tc>
      </w:tr>
      <w:tr w:rsidR="00AE3058" w:rsidTr="001D5796">
        <w:tc>
          <w:tcPr>
            <w:tcW w:w="1709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2.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E3058" w:rsidTr="001D5796">
        <w:tc>
          <w:tcPr>
            <w:tcW w:w="1709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058" w:rsidTr="001D5796"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27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058" w:rsidTr="001D5796">
        <w:tc>
          <w:tcPr>
            <w:tcW w:w="1875" w:type="dxa"/>
            <w:gridSpan w:val="2"/>
            <w:tcBorders>
              <w:top w:val="single" w:sz="4" w:space="0" w:color="000000"/>
            </w:tcBorders>
            <w:shd w:val="clear" w:color="auto" w:fill="BFBFB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000000"/>
            </w:tcBorders>
            <w:shd w:val="clear" w:color="auto" w:fill="BFBFB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0274" w:type="dxa"/>
            <w:gridSpan w:val="7"/>
            <w:tcBorders>
              <w:top w:val="single" w:sz="4" w:space="0" w:color="000000"/>
            </w:tcBorders>
            <w:shd w:val="clear" w:color="auto" w:fill="FFFFF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058" w:rsidTr="001D5796">
        <w:tc>
          <w:tcPr>
            <w:tcW w:w="1875" w:type="dxa"/>
            <w:gridSpan w:val="2"/>
            <w:shd w:val="clear" w:color="auto" w:fill="FFFFF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34" w:type="dxa"/>
            <w:gridSpan w:val="10"/>
            <w:shd w:val="clear" w:color="auto" w:fill="FFFFF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E3058" w:rsidRDefault="00AE3058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E3058" w:rsidRDefault="00AE3058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E3058" w:rsidRDefault="00AE3058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682A58" w:rsidRDefault="00682A58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682A58">
          <w:headerReference w:type="default" r:id="rId7"/>
          <w:footerReference w:type="default" r:id="rId8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682A58" w:rsidRDefault="00AE3058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Planejamento e Procedimentos</w:t>
      </w:r>
    </w:p>
    <w:p w:rsidR="00682A58" w:rsidRDefault="00682A58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Style w:val="a5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682A5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planejem seu trabalho e assegurar que a auditoria seja conduzida de uma maneira eficiente e eficaz;</w:t>
            </w:r>
          </w:p>
        </w:tc>
      </w:tr>
      <w:tr w:rsidR="00682A5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100/44-48</w:t>
            </w:r>
            <w:bookmarkStart w:id="2" w:name="_GoBack"/>
            <w:bookmarkEnd w:id="2"/>
          </w:p>
          <w:p w:rsidR="00682A58" w:rsidRPr="00B6122F" w:rsidRDefault="00AE3058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B6122F">
              <w:rPr>
                <w:rFonts w:ascii="Arial" w:eastAsia="Arial" w:hAnsi="Arial" w:cs="Arial"/>
                <w:sz w:val="16"/>
                <w:szCs w:val="16"/>
              </w:rPr>
              <w:t>NBASP 300/36-38</w:t>
            </w:r>
          </w:p>
          <w:p w:rsidR="00682A58" w:rsidRDefault="00AE3058">
            <w:pPr>
              <w:spacing w:after="0"/>
              <w:jc w:val="both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 w:rsidRPr="00B6122F">
              <w:rPr>
                <w:rFonts w:ascii="Arial" w:eastAsia="Arial" w:hAnsi="Arial" w:cs="Arial"/>
                <w:sz w:val="16"/>
                <w:szCs w:val="16"/>
              </w:rPr>
              <w:t>NBASP 3000/101-128</w:t>
            </w:r>
          </w:p>
        </w:tc>
      </w:tr>
      <w:tr w:rsidR="00682A5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planejamento de uma auditoria específica envolve aspectos estratégicos e operacionais. Estrategicamente, o planejamento deve definir o escopo, os objetivos e a abordagem da auditoria. Os objetivos referem-se àquilo que a auditoria pretende alcançar. O escopo refere-se ao objeto e aos critérios que os auditores utilizarão para avaliar e relatar acerca do objeto, e está diretamente relacionado com os objetivos. A abordagem descreverá a natureza e extensão dos procedimentos a serem aplicados para reunir evidências de auditoria. A auditoria deve ser planejada para reduzir os riscos de auditoria a um nível aceitavelmente baixo. Operacionalmente, o planejamento implica estabelecer um cronograma para a auditoria e a definir a natureza, época e extensão dos procedimentos de auditoria. Durante o planejamento, os auditores devem designar os membros de suas equipes de modo apropriado e identificar outros recursos que possam ser necessários, tais como especialistas na matéria. O planejamento de auditoria deve ser responsivo a mudanças significativas nas circunstâncias e condições. É um processo iterativo que ocorre ao longo de toda a auditoria. (NBASP 100/48)</w:t>
            </w:r>
          </w:p>
          <w:p w:rsidR="00682A58" w:rsidRDefault="00AE3058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equipe deve elaborar a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Matriz de Planejamento e Procedimentos, documento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no qual devem ser registrados os passos a serem realizados na fase de execução para que o objetivo da auditoria seja alcançado. A Matriz de Planejamento e Procedimentos deve: selecionar, de maneira prévia, as áreas ou questões mais relevantes da auditoria; dar foco ao trabalho de fiscalização; ampliar a possibilidade de se alcançar bons resultados com o trabalho; minimizar riscos de prorrogações na duração dos trabalhos e desgastes com as chefias; equacionar expectativas e evitar surpresas ao final da execução, facilitando a discussão do trabalho com as chefias em bases objetivas. É parte da realização da matriz, a elaboração/definição dos instrumentos de coleta de dados que serão utilizados durante a execução da auditoria, lembrando que cada técnica de coleta de dados – entrevista, questionário, grupo focal, observação direta,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– possui um instrumento próprio, a ser desenhado de forma a garantir a obtenção de informações relevantes e suficientes para responder às questões de auditoria.</w:t>
            </w:r>
          </w:p>
          <w:p w:rsidR="00682A58" w:rsidRDefault="00AE3058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OBS.: </w:t>
            </w:r>
            <w:r>
              <w:rPr>
                <w:rFonts w:ascii="Arial" w:eastAsia="Arial" w:hAnsi="Arial" w:cs="Arial"/>
                <w:sz w:val="16"/>
                <w:szCs w:val="16"/>
              </w:rPr>
              <w:t>as decisões da equipe sobre natureza, época e extensão dos procedimentos de auditoria irão impactar nas evidências. Os procedimentos dependem da avaliação de riscos ou análise do problema (NBASP 100/49). Assim, ao iniciar a aplicação desses procedimentos, saindo da fase do planejamento e iniciando a de execução, o olhar deve ser voltado para os riscos de auditoria, que traz o seguinte conceito:</w:t>
            </w:r>
          </w:p>
          <w:p w:rsidR="00682A58" w:rsidRDefault="00AE3058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1: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 risco de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- é o risco de que o relatório de auditoria possa ser inadequado. O auditor executa procedimentos para reduzir ou administrar o risco de chegar a conclusões inapropriadas, reconhecendo que as limitações inerentes a todas as auditorias significam que uma auditoria nunca pode fornecer absoluta certeza da condição objeto. (NBASP 100/40 e 46; </w:t>
            </w:r>
            <w:r w:rsidRPr="00B6122F">
              <w:rPr>
                <w:rFonts w:ascii="Arial" w:eastAsia="Arial" w:hAnsi="Arial" w:cs="Arial"/>
                <w:sz w:val="16"/>
                <w:szCs w:val="16"/>
              </w:rPr>
              <w:t xml:space="preserve">NBASP 300/28; NBASP 3000/52). </w:t>
            </w:r>
            <w:r>
              <w:rPr>
                <w:rFonts w:ascii="Arial" w:eastAsia="Arial" w:hAnsi="Arial" w:cs="Arial"/>
                <w:sz w:val="16"/>
                <w:szCs w:val="16"/>
              </w:rPr>
              <w:t>Lidar com riscos de auditoria é parte integrante de todo o processo e da metodologia de auditoria. Os documentos de planejamento de auditoria devem indicar os possíveis ou conhecidos riscos do trabalho pretendido bem como mostrar como tais riscos serão tratados;</w:t>
            </w:r>
          </w:p>
          <w:p w:rsidR="00682A58" w:rsidRDefault="00AE3058">
            <w:pPr>
              <w:spacing w:before="200"/>
              <w:jc w:val="both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2: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highlight w:val="white"/>
              </w:rPr>
              <w:t>Com base na análise de risco, o auditor definirá o escopo, natureza dos procedimentos, bem como a quantidade de testes necessária para fornecer evidências da auditoria suficiente (quantidade) e apropriada (qualidade, relevância, válida e confiável).</w:t>
            </w:r>
          </w:p>
          <w:p w:rsidR="00682A58" w:rsidRPr="00B6122F" w:rsidRDefault="00AE3058" w:rsidP="00B6122F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B6122F">
              <w:rPr>
                <w:rFonts w:ascii="Arial" w:eastAsia="Arial" w:hAnsi="Arial" w:cs="Arial"/>
                <w:sz w:val="16"/>
                <w:szCs w:val="16"/>
              </w:rPr>
              <w:t xml:space="preserve">Ver páginas 80 a 89 do </w:t>
            </w:r>
            <w:hyperlink r:id="rId9">
              <w:r w:rsidRPr="00B6122F">
                <w:rPr>
                  <w:rFonts w:ascii="Arial" w:eastAsia="Arial" w:hAnsi="Arial" w:cs="Arial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 w:rsidRPr="00B6122F">
                <w:rPr>
                  <w:rFonts w:ascii="Arial" w:eastAsia="Arial" w:hAnsi="Arial" w:cs="Arial"/>
                  <w:sz w:val="16"/>
                  <w:szCs w:val="16"/>
                  <w:u w:val="single"/>
                </w:rPr>
                <w:t>ISSAIs</w:t>
              </w:r>
              <w:proofErr w:type="spellEnd"/>
              <w:r w:rsidRPr="00B6122F">
                <w:rPr>
                  <w:rFonts w:ascii="Arial" w:eastAsia="Arial" w:hAnsi="Arial" w:cs="Arial"/>
                  <w:sz w:val="16"/>
                  <w:szCs w:val="16"/>
                  <w:u w:val="single"/>
                </w:rPr>
                <w:t xml:space="preserve"> de Auditoria Operacional</w:t>
              </w:r>
            </w:hyperlink>
            <w:r w:rsidRPr="00B6122F">
              <w:rPr>
                <w:rFonts w:ascii="Arial" w:eastAsia="Arial" w:hAnsi="Arial" w:cs="Arial"/>
                <w:sz w:val="16"/>
                <w:szCs w:val="16"/>
              </w:rPr>
              <w:t xml:space="preserve"> para orientações sobre o preenchimento deste papel de trabalho.</w:t>
            </w:r>
          </w:p>
        </w:tc>
      </w:tr>
      <w:tr w:rsidR="00682A5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significativas para alcançar os objetivos da auditoria, permitindo que eles sejam alcançados. O planejamento da auditoria deve ser atualizado continuamente.</w:t>
            </w:r>
          </w:p>
        </w:tc>
      </w:tr>
      <w:tr w:rsidR="00682A5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682A58" w:rsidRDefault="00682A58">
      <w:pPr>
        <w:spacing w:after="0"/>
      </w:pPr>
    </w:p>
    <w:sectPr w:rsidR="00682A58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B65" w:rsidRDefault="00AE3058">
      <w:pPr>
        <w:spacing w:after="0" w:line="240" w:lineRule="auto"/>
      </w:pPr>
      <w:r>
        <w:separator/>
      </w:r>
    </w:p>
  </w:endnote>
  <w:endnote w:type="continuationSeparator" w:id="0">
    <w:p w:rsidR="00464B65" w:rsidRDefault="00AE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58" w:rsidRDefault="00AE30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82A58" w:rsidRDefault="00682A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B65" w:rsidRDefault="00AE3058">
      <w:pPr>
        <w:spacing w:after="0" w:line="240" w:lineRule="auto"/>
      </w:pPr>
      <w:r>
        <w:separator/>
      </w:r>
    </w:p>
  </w:footnote>
  <w:footnote w:type="continuationSeparator" w:id="0">
    <w:p w:rsidR="00464B65" w:rsidRDefault="00AE3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58" w:rsidRDefault="00682A58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682A58">
      <w:trPr>
        <w:trHeight w:val="1418"/>
        <w:jc w:val="center"/>
      </w:trPr>
      <w:tc>
        <w:tcPr>
          <w:tcW w:w="3000" w:type="dxa"/>
          <w:vAlign w:val="center"/>
        </w:tcPr>
        <w:p w:rsidR="00682A58" w:rsidRDefault="00AE3058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682A58" w:rsidRDefault="00AE305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82A58" w:rsidRPr="00E12CF2" w:rsidRDefault="00AE305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E12CF2"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682A58" w:rsidRDefault="00E12CF2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E12CF2">
            <w:rPr>
              <w:rFonts w:ascii="Arial" w:eastAsia="Arial" w:hAnsi="Arial" w:cs="Arial"/>
            </w:rPr>
            <w:t xml:space="preserve">Serviço de Avaliação e Inovação em Políticas Públicas </w:t>
          </w:r>
        </w:p>
      </w:tc>
    </w:tr>
  </w:tbl>
  <w:p w:rsidR="00682A58" w:rsidRDefault="00682A58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58"/>
    <w:rsid w:val="001D5796"/>
    <w:rsid w:val="00464B65"/>
    <w:rsid w:val="00682A58"/>
    <w:rsid w:val="00AE3058"/>
    <w:rsid w:val="00B6122F"/>
    <w:rsid w:val="00E1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FF16"/>
  <w15:docId w15:val="{8EE65B94-0839-4138-B01D-4B7E0917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rbcontas.org.br/wp-content/uploads/2023/11/Manual-de-Implementacao-das-ISSAIs-Auditoria-Operaciona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KvkvZm9YiPZyJ23kT5JhoNsNvQ==">CgMxLjAyCGguZ2pkZ3hzMg5oLmxhYm90OXBtcXBvaTgAciExbS1MNTZrM0p4eGJ2VjdWNU5BSEY2Szg1NGcyQk9Uc08=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1206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Vania Mara de Souza e Silva</cp:lastModifiedBy>
  <cp:revision>4</cp:revision>
  <dcterms:created xsi:type="dcterms:W3CDTF">2024-10-08T15:23:00Z</dcterms:created>
  <dcterms:modified xsi:type="dcterms:W3CDTF">2024-10-08T20:00:00Z</dcterms:modified>
</cp:coreProperties>
</file>